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4541" w14:textId="63147E88" w:rsidR="00880B72" w:rsidRDefault="00DE5279" w:rsidP="0097465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974657">
        <w:rPr>
          <w:rFonts w:ascii="Arial" w:hAnsi="Arial" w:cs="Arial"/>
          <w:color w:val="000000"/>
          <w:sz w:val="28"/>
          <w:szCs w:val="28"/>
        </w:rPr>
        <w:t>Допълнителна информация по т.24.</w:t>
      </w:r>
      <w:r w:rsidR="004524F2">
        <w:rPr>
          <w:rFonts w:ascii="Arial" w:hAnsi="Arial" w:cs="Arial"/>
          <w:color w:val="000000"/>
          <w:sz w:val="28"/>
          <w:szCs w:val="28"/>
        </w:rPr>
        <w:t>1 и т.24.2</w:t>
      </w:r>
      <w:r w:rsidRPr="00974657">
        <w:rPr>
          <w:rFonts w:ascii="Arial" w:hAnsi="Arial" w:cs="Arial"/>
          <w:color w:val="000000"/>
          <w:sz w:val="28"/>
          <w:szCs w:val="28"/>
        </w:rPr>
        <w:t xml:space="preserve"> от </w:t>
      </w:r>
      <w:r w:rsidRPr="00974657">
        <w:rPr>
          <w:rFonts w:ascii="Arial" w:hAnsi="Arial" w:cs="Arial"/>
          <w:b/>
          <w:bCs/>
          <w:color w:val="000000"/>
          <w:sz w:val="28"/>
          <w:szCs w:val="28"/>
        </w:rPr>
        <w:t>СС № 1 - ПРЕДСТАВЯНЕ НА ФИНАНСОВИ ОТЧЕТИ</w:t>
      </w:r>
    </w:p>
    <w:p w14:paraId="13DF7D5F" w14:textId="7ACC05A3" w:rsidR="00BF4BF8" w:rsidRPr="00BF4BF8" w:rsidRDefault="00BF4BF8" w:rsidP="00BF4BF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ПП </w:t>
      </w:r>
      <w:r w:rsidR="006653CE">
        <w:rPr>
          <w:rFonts w:ascii="Arial" w:hAnsi="Arial" w:cs="Arial"/>
          <w:b/>
          <w:bCs/>
          <w:color w:val="000000"/>
          <w:sz w:val="28"/>
          <w:szCs w:val="28"/>
        </w:rPr>
        <w:t>Величие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FD9662C" w14:textId="52D3E1E3" w:rsidR="00DE5279" w:rsidRPr="004524F2" w:rsidRDefault="00DE5279" w:rsidP="00974657">
      <w:pPr>
        <w:pStyle w:val="Heading2"/>
        <w:jc w:val="both"/>
      </w:pPr>
      <w:r w:rsidRPr="004524F2">
        <w:t>Дълготрайни материални активи</w:t>
      </w:r>
    </w:p>
    <w:p w14:paraId="52319CD2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</w:p>
    <w:p w14:paraId="545A016D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  <w:r w:rsidRPr="004524F2">
        <w:rPr>
          <w:rFonts w:ascii="Arial" w:hAnsi="Arial" w:cs="Arial"/>
          <w:i/>
        </w:rPr>
        <w:t xml:space="preserve"> Признаване и оценка на ДМА</w:t>
      </w:r>
    </w:p>
    <w:p w14:paraId="1BF583F9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u w:val="single"/>
        </w:rPr>
      </w:pPr>
    </w:p>
    <w:p w14:paraId="34D4A4F9" w14:textId="4A5CE546" w:rsidR="00DE5279" w:rsidRPr="004524F2" w:rsidRDefault="00DE5279" w:rsidP="00974657">
      <w:pPr>
        <w:jc w:val="both"/>
        <w:rPr>
          <w:rFonts w:ascii="Arial" w:hAnsi="Arial" w:cs="Arial"/>
        </w:rPr>
      </w:pPr>
      <w:r w:rsidRPr="004524F2">
        <w:rPr>
          <w:rFonts w:ascii="Arial" w:hAnsi="Arial" w:cs="Arial"/>
        </w:rPr>
        <w:t xml:space="preserve">ПП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</w:rPr>
        <w:t xml:space="preserve"> </w:t>
      </w:r>
      <w:r w:rsidRPr="004524F2">
        <w:rPr>
          <w:rFonts w:ascii="Arial" w:hAnsi="Arial" w:cs="Arial"/>
        </w:rPr>
        <w:t xml:space="preserve">отчита като дълготрайни материални активи </w:t>
      </w:r>
      <w:proofErr w:type="spellStart"/>
      <w:r w:rsidRPr="004524F2">
        <w:rPr>
          <w:rFonts w:ascii="Arial" w:hAnsi="Arial" w:cs="Arial"/>
        </w:rPr>
        <w:t>установимите</w:t>
      </w:r>
      <w:proofErr w:type="spellEnd"/>
      <w:r w:rsidRPr="004524F2">
        <w:rPr>
          <w:rFonts w:ascii="Arial" w:hAnsi="Arial" w:cs="Arial"/>
        </w:rPr>
        <w:t xml:space="preserve"> нефинансови активи с натурално веществена форма, придобити и притежавани от него, които се използват в производствената, търговската и административната дейност повече от един отчетен период и от които се чакат бъдещи икономически ползи.</w:t>
      </w:r>
    </w:p>
    <w:p w14:paraId="5CC9C32A" w14:textId="77777777" w:rsidR="00DE5279" w:rsidRPr="004524F2" w:rsidRDefault="00DE5279" w:rsidP="00974657">
      <w:pPr>
        <w:jc w:val="both"/>
        <w:rPr>
          <w:rFonts w:ascii="Arial" w:hAnsi="Arial" w:cs="Arial"/>
        </w:rPr>
      </w:pPr>
    </w:p>
    <w:p w14:paraId="435112E0" w14:textId="77777777" w:rsidR="00DE5279" w:rsidRPr="004524F2" w:rsidRDefault="00DE5279" w:rsidP="00974657">
      <w:pPr>
        <w:jc w:val="both"/>
        <w:rPr>
          <w:rFonts w:ascii="Arial" w:hAnsi="Arial" w:cs="Arial"/>
        </w:rPr>
      </w:pPr>
      <w:r w:rsidRPr="004524F2">
        <w:rPr>
          <w:rFonts w:ascii="Arial" w:hAnsi="Arial" w:cs="Arial"/>
        </w:rPr>
        <w:t>Стойностния праг над който активите се признават за ДМА е определен на 500 лв. и под този праг активите се отчитат като текущ разход. Оценката на представените в отчета ДМА е по историческа цена.</w:t>
      </w:r>
    </w:p>
    <w:p w14:paraId="184DF571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01CDB045" w14:textId="77777777" w:rsidR="00DE5279" w:rsidRPr="004524F2" w:rsidRDefault="00DE5279" w:rsidP="00974657">
      <w:pPr>
        <w:ind w:firstLine="720"/>
        <w:jc w:val="both"/>
        <w:rPr>
          <w:rFonts w:ascii="Arial" w:hAnsi="Arial" w:cs="Arial"/>
        </w:rPr>
      </w:pPr>
      <w:r w:rsidRPr="004524F2">
        <w:rPr>
          <w:rFonts w:ascii="Arial" w:hAnsi="Arial" w:cs="Arial"/>
          <w:i/>
        </w:rPr>
        <w:t>Видове</w:t>
      </w:r>
      <w:r w:rsidRPr="004524F2">
        <w:rPr>
          <w:rFonts w:ascii="Arial" w:hAnsi="Arial" w:cs="Arial"/>
        </w:rPr>
        <w:t xml:space="preserve"> </w:t>
      </w:r>
    </w:p>
    <w:p w14:paraId="07855776" w14:textId="77777777" w:rsidR="006653CE" w:rsidRDefault="006653CE" w:rsidP="006653CE">
      <w:pPr>
        <w:jc w:val="both"/>
        <w:rPr>
          <w:rFonts w:ascii="Arial" w:hAnsi="Arial" w:cs="Arial"/>
        </w:rPr>
      </w:pPr>
    </w:p>
    <w:p w14:paraId="4AEFEDBB" w14:textId="0731A09E" w:rsidR="00DE5279" w:rsidRPr="004524F2" w:rsidRDefault="006653CE" w:rsidP="00665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През 2023 не се отчитат ДМА.</w:t>
      </w:r>
    </w:p>
    <w:p w14:paraId="1CA39E04" w14:textId="77777777" w:rsidR="00DE5279" w:rsidRPr="004524F2" w:rsidRDefault="00DE5279" w:rsidP="00974657">
      <w:pPr>
        <w:pStyle w:val="Heading2"/>
        <w:jc w:val="both"/>
      </w:pPr>
      <w:r w:rsidRPr="004524F2">
        <w:t>Нематериални дълготрайни активи</w:t>
      </w:r>
    </w:p>
    <w:p w14:paraId="4BF1C762" w14:textId="77777777" w:rsidR="00DE5279" w:rsidRPr="004524F2" w:rsidRDefault="00DE5279" w:rsidP="00974657">
      <w:pPr>
        <w:jc w:val="both"/>
      </w:pPr>
    </w:p>
    <w:p w14:paraId="157AE2D4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  <w:r w:rsidRPr="004524F2">
        <w:rPr>
          <w:rFonts w:ascii="Arial" w:hAnsi="Arial" w:cs="Arial"/>
          <w:i/>
        </w:rPr>
        <w:t>Признаване и оценка</w:t>
      </w:r>
    </w:p>
    <w:p w14:paraId="265CABE5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</w:p>
    <w:p w14:paraId="4C3B319A" w14:textId="77777777" w:rsidR="00DE5279" w:rsidRPr="004524F2" w:rsidRDefault="0084559D" w:rsidP="00974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Партията</w:t>
      </w:r>
      <w:r w:rsidR="00DE5279" w:rsidRPr="004524F2">
        <w:rPr>
          <w:rFonts w:ascii="Arial" w:hAnsi="Arial" w:cs="Arial"/>
        </w:rPr>
        <w:t xml:space="preserve"> счита като нематериални дълготрайни активи нефинансови ресурси без материален характер, придобити и контролирани от него, от които се чакат бъдещи икономически ползи за повече от един отчетен период.</w:t>
      </w:r>
    </w:p>
    <w:p w14:paraId="15EAD0BE" w14:textId="77777777" w:rsidR="00DE5279" w:rsidRPr="004524F2" w:rsidRDefault="00DE5279" w:rsidP="00974657">
      <w:pPr>
        <w:jc w:val="both"/>
        <w:rPr>
          <w:rFonts w:ascii="Arial" w:hAnsi="Arial" w:cs="Arial"/>
        </w:rPr>
      </w:pPr>
    </w:p>
    <w:p w14:paraId="6C56BCCC" w14:textId="77777777" w:rsidR="00DE5279" w:rsidRPr="004524F2" w:rsidRDefault="00DE5279" w:rsidP="00974657">
      <w:pPr>
        <w:jc w:val="both"/>
        <w:rPr>
          <w:rFonts w:ascii="Arial" w:hAnsi="Arial" w:cs="Arial"/>
        </w:rPr>
      </w:pPr>
      <w:r w:rsidRPr="004524F2">
        <w:rPr>
          <w:rFonts w:ascii="Arial" w:hAnsi="Arial" w:cs="Arial"/>
        </w:rPr>
        <w:t xml:space="preserve">Стойностния праг над който активите се считат за дълготрайни е определен на 500 лв. и под този праг активите се отчитат като текущ разход. </w:t>
      </w:r>
    </w:p>
    <w:p w14:paraId="5695CBA7" w14:textId="77777777" w:rsidR="00DE5279" w:rsidRPr="004524F2" w:rsidRDefault="00DE5279" w:rsidP="00974657">
      <w:pPr>
        <w:jc w:val="both"/>
        <w:rPr>
          <w:rFonts w:ascii="Arial" w:hAnsi="Arial" w:cs="Arial"/>
        </w:rPr>
      </w:pPr>
    </w:p>
    <w:p w14:paraId="4BB2B516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</w:rPr>
        <w:t>При първоначално придобиване НДА се оценяват по цена на придобиване</w:t>
      </w:r>
      <w:r w:rsidRPr="004524F2">
        <w:rPr>
          <w:rFonts w:ascii="Arial" w:hAnsi="Arial" w:cs="Arial"/>
          <w:snapToGrid w:val="0"/>
        </w:rPr>
        <w:t xml:space="preserve">, която включва покупната цена и всички разходи по доставката и инсталирането им. Разходите за обучение на персонала за работа с програмните продукти, както и административните и други общи разходи не се включват в първоначалната оценка. </w:t>
      </w:r>
    </w:p>
    <w:p w14:paraId="21D9EAA8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400BE475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След първоначалното признаване НДА се оценяват по цена на придобиване, намалена с начислената амортизация и евентуално с натрупаните загуби от обезценки. </w:t>
      </w:r>
    </w:p>
    <w:p w14:paraId="2348238A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2188201B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Последващите разходи за поддържане на първоначално установената ефективност на НДА се отчетат като текущи разходи. </w:t>
      </w:r>
    </w:p>
    <w:p w14:paraId="7E445D68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1FC0686D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lastRenderedPageBreak/>
        <w:t xml:space="preserve">Разходите, които могат да бъдат надлежно измерени и отнесени към определени НДА се капитализират /увеличават стойността на НДА/ само в случай че водят до увеличаване  на очакваните изгоди. </w:t>
      </w:r>
    </w:p>
    <w:p w14:paraId="3372EB00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</w:p>
    <w:p w14:paraId="5AAE2AD3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  <w:r w:rsidRPr="004524F2">
        <w:rPr>
          <w:rFonts w:ascii="Arial" w:hAnsi="Arial" w:cs="Arial"/>
          <w:i/>
        </w:rPr>
        <w:t xml:space="preserve"> Видове НДА </w:t>
      </w:r>
    </w:p>
    <w:p w14:paraId="66ADD9F6" w14:textId="77777777" w:rsidR="00DE5279" w:rsidRPr="004524F2" w:rsidRDefault="00DE5279" w:rsidP="00974657">
      <w:pPr>
        <w:ind w:firstLine="720"/>
        <w:jc w:val="both"/>
        <w:rPr>
          <w:rFonts w:ascii="Arial" w:hAnsi="Arial" w:cs="Arial"/>
        </w:rPr>
      </w:pPr>
    </w:p>
    <w:p w14:paraId="368F8F21" w14:textId="3CB33C25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ПП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snapToGrid w:val="0"/>
        </w:rPr>
        <w:t xml:space="preserve"> </w:t>
      </w:r>
      <w:r w:rsidRPr="004524F2">
        <w:rPr>
          <w:rFonts w:ascii="Arial" w:hAnsi="Arial" w:cs="Arial"/>
          <w:snapToGrid w:val="0"/>
        </w:rPr>
        <w:t>не разполага с НДА.</w:t>
      </w:r>
    </w:p>
    <w:p w14:paraId="3C72B9E2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Няма вътрешно създадени НДА. </w:t>
      </w:r>
    </w:p>
    <w:p w14:paraId="1851E53A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>Не се осъществява изследователска и развойна дейност</w:t>
      </w:r>
    </w:p>
    <w:p w14:paraId="18D3988C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088FE85D" w14:textId="77777777" w:rsidR="00DE5279" w:rsidRPr="004524F2" w:rsidRDefault="00DE5279" w:rsidP="00974657">
      <w:pPr>
        <w:pStyle w:val="Heading2"/>
        <w:jc w:val="both"/>
      </w:pPr>
      <w:r w:rsidRPr="004524F2">
        <w:t xml:space="preserve">Стоково материални запаси </w:t>
      </w:r>
    </w:p>
    <w:p w14:paraId="13D1DF6D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</w:p>
    <w:p w14:paraId="75750F71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  <w:r w:rsidRPr="004524F2">
        <w:rPr>
          <w:rFonts w:ascii="Arial" w:hAnsi="Arial" w:cs="Arial"/>
          <w:i/>
        </w:rPr>
        <w:t>Материални запаси</w:t>
      </w:r>
    </w:p>
    <w:p w14:paraId="26DE60C2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  <w:snapToGrid w:val="0"/>
          <w:lang w:eastAsia="en-US"/>
        </w:rPr>
      </w:pPr>
    </w:p>
    <w:p w14:paraId="3C32ABF2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Материалите се ползват в основната дейност и се отчитат по </w:t>
      </w:r>
      <w:proofErr w:type="spellStart"/>
      <w:r w:rsidRPr="004524F2">
        <w:rPr>
          <w:rFonts w:ascii="Arial" w:hAnsi="Arial" w:cs="Arial"/>
          <w:snapToGrid w:val="0"/>
        </w:rPr>
        <w:t>доставната</w:t>
      </w:r>
      <w:proofErr w:type="spellEnd"/>
      <w:r w:rsidRPr="004524F2">
        <w:rPr>
          <w:rFonts w:ascii="Arial" w:hAnsi="Arial" w:cs="Arial"/>
          <w:snapToGrid w:val="0"/>
        </w:rPr>
        <w:t xml:space="preserve"> им стойност, която включва съвкупната им стойност и разходите по доставка, а за вносните материали - мита и митнически такси.</w:t>
      </w:r>
    </w:p>
    <w:p w14:paraId="7EFB48F6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</w:p>
    <w:p w14:paraId="092B14B5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i/>
        </w:rPr>
      </w:pPr>
      <w:r w:rsidRPr="004524F2">
        <w:rPr>
          <w:rFonts w:ascii="Arial" w:hAnsi="Arial" w:cs="Arial"/>
          <w:i/>
        </w:rPr>
        <w:t>Стокови запаси</w:t>
      </w:r>
    </w:p>
    <w:p w14:paraId="54C629A9" w14:textId="77777777" w:rsidR="00DE5279" w:rsidRPr="004524F2" w:rsidRDefault="00DE5279" w:rsidP="00974657">
      <w:pPr>
        <w:ind w:firstLine="720"/>
        <w:jc w:val="both"/>
        <w:rPr>
          <w:rFonts w:ascii="Arial" w:hAnsi="Arial" w:cs="Arial"/>
          <w:snapToGrid w:val="0"/>
          <w:lang w:eastAsia="en-US"/>
        </w:rPr>
      </w:pPr>
    </w:p>
    <w:p w14:paraId="5139244A" w14:textId="69354692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В ПП </w:t>
      </w:r>
      <w:r w:rsidR="006653CE">
        <w:rPr>
          <w:rFonts w:ascii="Arial" w:hAnsi="Arial" w:cs="Arial"/>
          <w:snapToGrid w:val="0"/>
        </w:rPr>
        <w:t>Величие</w:t>
      </w:r>
      <w:r w:rsidRPr="004524F2">
        <w:rPr>
          <w:rFonts w:ascii="Arial" w:hAnsi="Arial" w:cs="Arial"/>
          <w:snapToGrid w:val="0"/>
        </w:rPr>
        <w:t xml:space="preserve"> няма налични  стокови запаси</w:t>
      </w:r>
    </w:p>
    <w:p w14:paraId="18321A4E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5527D9A2" w14:textId="77777777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 xml:space="preserve">Парични средства </w:t>
      </w:r>
    </w:p>
    <w:p w14:paraId="74D4F7A3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292D159D" w14:textId="77777777" w:rsidR="00DE5279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Отчитането на сделките с чуждестранна валута и признаването на курсовите разлики се осъществяват съобразно постановките на приложимите счетоводни стандарти. Паричните средства са оценени по номинална стойност, а паричните средства във валута  - по заключителен курс на БНБ. </w:t>
      </w:r>
    </w:p>
    <w:p w14:paraId="278CFCCD" w14:textId="77777777" w:rsidR="001D759D" w:rsidRPr="004524F2" w:rsidRDefault="001D759D" w:rsidP="00974657">
      <w:pPr>
        <w:jc w:val="both"/>
        <w:rPr>
          <w:rFonts w:ascii="Arial" w:hAnsi="Arial" w:cs="Arial"/>
          <w:snapToGrid w:val="0"/>
        </w:rPr>
      </w:pPr>
    </w:p>
    <w:p w14:paraId="41A2E301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Не се определя  касов остатък в края на деня и не се определя норма на за касовите плащания. </w:t>
      </w:r>
    </w:p>
    <w:p w14:paraId="20EB7555" w14:textId="77777777" w:rsidR="004524F2" w:rsidRPr="004524F2" w:rsidRDefault="004524F2" w:rsidP="00974657">
      <w:pPr>
        <w:jc w:val="both"/>
        <w:rPr>
          <w:rFonts w:ascii="Arial" w:hAnsi="Arial" w:cs="Arial"/>
          <w:snapToGrid w:val="0"/>
        </w:rPr>
      </w:pPr>
    </w:p>
    <w:p w14:paraId="0CB4BEAC" w14:textId="6D78DCAE" w:rsidR="006653CE" w:rsidRPr="006653CE" w:rsidRDefault="006653CE" w:rsidP="00974657">
      <w:pPr>
        <w:jc w:val="both"/>
        <w:rPr>
          <w:rFonts w:ascii="Arial" w:hAnsi="Arial" w:cs="Arial"/>
          <w:snapToGrid w:val="0"/>
        </w:rPr>
      </w:pPr>
      <w:r w:rsidRPr="006653CE">
        <w:rPr>
          <w:rFonts w:ascii="Arial" w:hAnsi="Arial" w:cs="Arial"/>
          <w:snapToGrid w:val="0"/>
        </w:rPr>
        <w:t>Към 31-12-2023 паричните наличности на ПП Величие възлизат на 201 лв.</w:t>
      </w:r>
    </w:p>
    <w:p w14:paraId="166BC2F3" w14:textId="77777777" w:rsidR="006653CE" w:rsidRDefault="006653CE" w:rsidP="00974657">
      <w:pPr>
        <w:jc w:val="both"/>
        <w:rPr>
          <w:rFonts w:ascii="Arial" w:hAnsi="Arial" w:cs="Arial"/>
          <w:b/>
          <w:snapToGrid w:val="0"/>
        </w:rPr>
      </w:pPr>
    </w:p>
    <w:p w14:paraId="6940D7F9" w14:textId="7F481E06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 xml:space="preserve">Вземания </w:t>
      </w:r>
    </w:p>
    <w:p w14:paraId="77AA6643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5F220D60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Вземанията в левове са оценени по стойността на тяхното възникване, а тези в чужда валута - по курса на БНБ за деня в момента на възникването им. </w:t>
      </w:r>
    </w:p>
    <w:p w14:paraId="38681197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0B778F0C" w14:textId="0C07F7E2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>Разходи за бъдещи периоди</w:t>
      </w:r>
    </w:p>
    <w:p w14:paraId="04B773E3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0CE58B9B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Разходите за бъдещи периоди се отчитат по видове като краткосрочни или дългосрочни активи. </w:t>
      </w:r>
    </w:p>
    <w:p w14:paraId="5D297F5D" w14:textId="4741CF5B" w:rsidR="00DE5279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При настъпване на периода за който се отнасят, се </w:t>
      </w:r>
      <w:r w:rsidR="001D759D" w:rsidRPr="004524F2">
        <w:rPr>
          <w:rFonts w:ascii="Arial" w:hAnsi="Arial" w:cs="Arial"/>
          <w:snapToGrid w:val="0"/>
        </w:rPr>
        <w:t>прехвърлят</w:t>
      </w:r>
      <w:r w:rsidRPr="004524F2">
        <w:rPr>
          <w:rFonts w:ascii="Arial" w:hAnsi="Arial" w:cs="Arial"/>
          <w:snapToGrid w:val="0"/>
        </w:rPr>
        <w:t xml:space="preserve"> като текущи разходи съгласно погасителен план и се отчитат при погасяването като разходи по икономически елементи /или финансови разходи/. </w:t>
      </w:r>
    </w:p>
    <w:p w14:paraId="566F8BE6" w14:textId="77777777" w:rsidR="001D759D" w:rsidRDefault="001D759D" w:rsidP="00974657">
      <w:pPr>
        <w:jc w:val="both"/>
        <w:rPr>
          <w:rFonts w:ascii="Arial" w:hAnsi="Arial" w:cs="Arial"/>
          <w:snapToGrid w:val="0"/>
        </w:rPr>
      </w:pPr>
    </w:p>
    <w:p w14:paraId="72325F19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230C4C2C" w14:textId="77777777" w:rsidR="006653CE" w:rsidRPr="004524F2" w:rsidRDefault="006653CE" w:rsidP="00974657">
      <w:pPr>
        <w:jc w:val="both"/>
        <w:rPr>
          <w:rFonts w:ascii="Arial" w:hAnsi="Arial" w:cs="Arial"/>
          <w:snapToGrid w:val="0"/>
        </w:rPr>
      </w:pPr>
    </w:p>
    <w:p w14:paraId="1C080C9F" w14:textId="77777777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>Провизии</w:t>
      </w:r>
    </w:p>
    <w:p w14:paraId="7BD8F092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4C9215D0" w14:textId="6FBE6D25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Признаването, оценката и отчитането на провизиите се извършва в </w:t>
      </w:r>
      <w:r w:rsidR="001D759D" w:rsidRPr="004524F2">
        <w:rPr>
          <w:rFonts w:ascii="Arial" w:hAnsi="Arial" w:cs="Arial"/>
          <w:snapToGrid w:val="0"/>
        </w:rPr>
        <w:t>съответствие</w:t>
      </w:r>
      <w:r w:rsidRPr="004524F2">
        <w:rPr>
          <w:rFonts w:ascii="Arial" w:hAnsi="Arial" w:cs="Arial"/>
          <w:snapToGrid w:val="0"/>
        </w:rPr>
        <w:t xml:space="preserve"> с приложимите счетоводни стандарти. </w:t>
      </w:r>
    </w:p>
    <w:p w14:paraId="1B5BA14F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254817E3" w14:textId="77777777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>Обезценка на активи</w:t>
      </w:r>
    </w:p>
    <w:p w14:paraId="59C91E2E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1397A5D4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>Определянето на :</w:t>
      </w:r>
    </w:p>
    <w:p w14:paraId="3BC164B2" w14:textId="77777777" w:rsidR="00DE5279" w:rsidRPr="004524F2" w:rsidRDefault="00DE5279" w:rsidP="00974657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възстановимата стойност </w:t>
      </w:r>
    </w:p>
    <w:p w14:paraId="0540E0BA" w14:textId="77777777" w:rsidR="00DE5279" w:rsidRPr="004524F2" w:rsidRDefault="00DE5279" w:rsidP="00974657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нетната продажна цена </w:t>
      </w:r>
    </w:p>
    <w:p w14:paraId="24F9EDCE" w14:textId="77777777" w:rsidR="00DE5279" w:rsidRPr="004524F2" w:rsidRDefault="00DE5279" w:rsidP="00974657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стойността в употреба </w:t>
      </w:r>
    </w:p>
    <w:p w14:paraId="2324AE16" w14:textId="77777777" w:rsidR="00DE5279" w:rsidRPr="004524F2" w:rsidRDefault="00DE5279" w:rsidP="00974657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загубата от обезценка </w:t>
      </w:r>
    </w:p>
    <w:p w14:paraId="513748F3" w14:textId="77777777" w:rsidR="00DE5279" w:rsidRPr="004524F2" w:rsidRDefault="00DE5279" w:rsidP="00974657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възстановяването на загуба от </w:t>
      </w:r>
      <w:proofErr w:type="spellStart"/>
      <w:r w:rsidRPr="004524F2">
        <w:rPr>
          <w:rFonts w:ascii="Arial" w:hAnsi="Arial" w:cs="Arial"/>
          <w:snapToGrid w:val="0"/>
        </w:rPr>
        <w:t>обезсценка</w:t>
      </w:r>
      <w:proofErr w:type="spellEnd"/>
    </w:p>
    <w:p w14:paraId="50F66CA4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>се извършва по реда указан в СС 36</w:t>
      </w:r>
    </w:p>
    <w:p w14:paraId="18B2ABAB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</w:p>
    <w:p w14:paraId="19707BAA" w14:textId="77777777" w:rsidR="00DE5279" w:rsidRPr="004524F2" w:rsidRDefault="00DE5279" w:rsidP="00974657">
      <w:pPr>
        <w:jc w:val="both"/>
        <w:rPr>
          <w:rFonts w:ascii="Arial" w:hAnsi="Arial" w:cs="Arial"/>
          <w:b/>
        </w:rPr>
      </w:pPr>
      <w:r w:rsidRPr="004524F2">
        <w:rPr>
          <w:rFonts w:ascii="Arial" w:hAnsi="Arial" w:cs="Arial"/>
          <w:b/>
        </w:rPr>
        <w:t>Пасиви</w:t>
      </w:r>
    </w:p>
    <w:p w14:paraId="0B44F99C" w14:textId="77777777" w:rsidR="00974657" w:rsidRPr="004524F2" w:rsidRDefault="00974657" w:rsidP="00974657">
      <w:pPr>
        <w:jc w:val="both"/>
        <w:rPr>
          <w:rFonts w:ascii="Arial" w:hAnsi="Arial" w:cs="Arial"/>
          <w:b/>
        </w:rPr>
      </w:pPr>
    </w:p>
    <w:p w14:paraId="702888C5" w14:textId="77777777" w:rsidR="00DE5279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Текущите задължения се начисляват при тяхното възникване.  </w:t>
      </w:r>
    </w:p>
    <w:p w14:paraId="6EA4F76E" w14:textId="77777777" w:rsidR="001D759D" w:rsidRDefault="001D759D" w:rsidP="00974657">
      <w:pPr>
        <w:jc w:val="both"/>
        <w:rPr>
          <w:rFonts w:ascii="Arial" w:hAnsi="Arial" w:cs="Arial"/>
          <w:snapToGrid w:val="0"/>
        </w:rPr>
      </w:pPr>
    </w:p>
    <w:p w14:paraId="3CE33855" w14:textId="77777777" w:rsidR="00DE5279" w:rsidRPr="004524F2" w:rsidRDefault="00DE5279" w:rsidP="00974657">
      <w:pPr>
        <w:jc w:val="both"/>
        <w:rPr>
          <w:rFonts w:ascii="Arial" w:hAnsi="Arial" w:cs="Arial"/>
          <w:b/>
        </w:rPr>
      </w:pPr>
      <w:r w:rsidRPr="004524F2">
        <w:rPr>
          <w:rFonts w:ascii="Arial" w:hAnsi="Arial" w:cs="Arial"/>
          <w:b/>
        </w:rPr>
        <w:t xml:space="preserve">Приходи </w:t>
      </w:r>
    </w:p>
    <w:p w14:paraId="73F4E832" w14:textId="77777777" w:rsidR="00974657" w:rsidRPr="004524F2" w:rsidRDefault="00974657" w:rsidP="00974657">
      <w:pPr>
        <w:jc w:val="both"/>
        <w:rPr>
          <w:rFonts w:ascii="Arial" w:hAnsi="Arial" w:cs="Arial"/>
          <w:b/>
        </w:rPr>
      </w:pPr>
    </w:p>
    <w:p w14:paraId="157CC5C5" w14:textId="4BE9635F" w:rsidR="0084559D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Основните приходи на </w:t>
      </w:r>
      <w:r w:rsidR="0084559D">
        <w:rPr>
          <w:rFonts w:ascii="Arial" w:hAnsi="Arial" w:cs="Arial"/>
          <w:snapToGrid w:val="0"/>
        </w:rPr>
        <w:t xml:space="preserve">ПП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snapToGrid w:val="0"/>
        </w:rPr>
        <w:t xml:space="preserve"> </w:t>
      </w:r>
      <w:r w:rsidRPr="004524F2">
        <w:rPr>
          <w:rFonts w:ascii="Arial" w:hAnsi="Arial" w:cs="Arial"/>
          <w:snapToGrid w:val="0"/>
        </w:rPr>
        <w:t xml:space="preserve">са от </w:t>
      </w:r>
      <w:r w:rsidR="0084559D">
        <w:rPr>
          <w:rFonts w:ascii="Arial" w:hAnsi="Arial" w:cs="Arial"/>
          <w:snapToGrid w:val="0"/>
        </w:rPr>
        <w:t xml:space="preserve">получен членски внос </w:t>
      </w:r>
      <w:r w:rsidR="004833ED">
        <w:rPr>
          <w:rFonts w:ascii="Arial" w:hAnsi="Arial" w:cs="Arial"/>
          <w:snapToGrid w:val="0"/>
        </w:rPr>
        <w:t>и дарения.</w:t>
      </w:r>
    </w:p>
    <w:p w14:paraId="6EBBD6ED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 </w:t>
      </w:r>
    </w:p>
    <w:tbl>
      <w:tblPr>
        <w:tblW w:w="3744" w:type="pct"/>
        <w:tblLook w:val="04A0" w:firstRow="1" w:lastRow="0" w:firstColumn="1" w:lastColumn="0" w:noHBand="0" w:noVBand="1"/>
      </w:tblPr>
      <w:tblGrid>
        <w:gridCol w:w="4703"/>
        <w:gridCol w:w="2090"/>
      </w:tblGrid>
      <w:tr w:rsidR="006653CE" w:rsidRPr="004524F2" w14:paraId="356C3614" w14:textId="77777777" w:rsidTr="006653CE">
        <w:tc>
          <w:tcPr>
            <w:tcW w:w="3462" w:type="pct"/>
            <w:shd w:val="clear" w:color="auto" w:fill="auto"/>
          </w:tcPr>
          <w:p w14:paraId="3731436D" w14:textId="77777777" w:rsidR="006653CE" w:rsidRPr="004524F2" w:rsidRDefault="006653CE" w:rsidP="00053668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shd w:val="clear" w:color="auto" w:fill="auto"/>
          </w:tcPr>
          <w:p w14:paraId="77F473DA" w14:textId="1FC729ED" w:rsidR="006653CE" w:rsidRPr="004524F2" w:rsidRDefault="006653CE" w:rsidP="00053668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31.12.2023</w:t>
            </w:r>
            <w:r w:rsidRPr="004524F2">
              <w:rPr>
                <w:rFonts w:ascii="Calibri" w:hAnsi="Calibri" w:cs="Calibri"/>
                <w:b/>
                <w:bCs/>
                <w:color w:val="000000"/>
              </w:rPr>
              <w:t>г</w:t>
            </w:r>
          </w:p>
        </w:tc>
      </w:tr>
      <w:tr w:rsidR="006653CE" w:rsidRPr="004524F2" w14:paraId="7C9301D1" w14:textId="77777777" w:rsidTr="006653CE">
        <w:tc>
          <w:tcPr>
            <w:tcW w:w="3462" w:type="pct"/>
            <w:shd w:val="clear" w:color="auto" w:fill="auto"/>
          </w:tcPr>
          <w:p w14:paraId="13636952" w14:textId="77777777" w:rsidR="006653CE" w:rsidRPr="004524F2" w:rsidRDefault="006653CE" w:rsidP="00053668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tcBorders>
              <w:bottom w:val="double" w:sz="4" w:space="0" w:color="auto"/>
            </w:tcBorders>
            <w:shd w:val="clear" w:color="auto" w:fill="auto"/>
          </w:tcPr>
          <w:p w14:paraId="67CC3046" w14:textId="77777777" w:rsidR="006653CE" w:rsidRPr="004524F2" w:rsidRDefault="006653CE" w:rsidP="00053668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24F2">
              <w:rPr>
                <w:rFonts w:ascii="Calibri" w:hAnsi="Calibri" w:cs="Calibri"/>
                <w:b/>
                <w:bCs/>
                <w:color w:val="000000"/>
              </w:rPr>
              <w:t>BGN(000)</w:t>
            </w:r>
          </w:p>
        </w:tc>
      </w:tr>
      <w:tr w:rsidR="006653CE" w:rsidRPr="004524F2" w14:paraId="7E5C67A8" w14:textId="77777777" w:rsidTr="006653CE">
        <w:tc>
          <w:tcPr>
            <w:tcW w:w="3462" w:type="pct"/>
            <w:shd w:val="clear" w:color="auto" w:fill="auto"/>
          </w:tcPr>
          <w:p w14:paraId="2EB99CD9" w14:textId="77777777" w:rsidR="006653CE" w:rsidRPr="004524F2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Получен членски внос</w:t>
            </w:r>
            <w:r w:rsidRPr="004524F2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21C2F64B" w14:textId="5E0ECCF2" w:rsidR="006653CE" w:rsidRPr="00DC7FB6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6653CE" w:rsidRPr="004524F2" w14:paraId="0726C894" w14:textId="77777777" w:rsidTr="006653CE">
        <w:tc>
          <w:tcPr>
            <w:tcW w:w="3462" w:type="pct"/>
            <w:shd w:val="clear" w:color="auto" w:fill="auto"/>
            <w:vAlign w:val="center"/>
          </w:tcPr>
          <w:p w14:paraId="6A486757" w14:textId="6311B1C2" w:rsidR="006653CE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F44E4E">
              <w:rPr>
                <w:rFonts w:ascii="Calibri" w:hAnsi="Calibri" w:cs="Calibri"/>
                <w:bCs/>
              </w:rPr>
              <w:t>Приходи от правителствени програми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76B1618C" w14:textId="23F589ED" w:rsidR="006653CE" w:rsidRPr="00DC7FB6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</w:p>
        </w:tc>
      </w:tr>
      <w:tr w:rsidR="006653CE" w:rsidRPr="004524F2" w14:paraId="094C83DE" w14:textId="77777777" w:rsidTr="006653CE">
        <w:tc>
          <w:tcPr>
            <w:tcW w:w="3462" w:type="pct"/>
            <w:shd w:val="clear" w:color="auto" w:fill="auto"/>
            <w:vAlign w:val="center"/>
          </w:tcPr>
          <w:p w14:paraId="0C697002" w14:textId="38DD5078" w:rsidR="006653CE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F44E4E">
              <w:rPr>
                <w:rFonts w:ascii="Calibri" w:hAnsi="Calibri" w:cs="Calibri"/>
                <w:bCs/>
              </w:rPr>
              <w:t>Приходи от други дарения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43FAB6F2" w14:textId="4197A6A1" w:rsidR="006653CE" w:rsidRPr="00DC7FB6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</w:tr>
      <w:tr w:rsidR="006653CE" w:rsidRPr="004524F2" w14:paraId="45DAA908" w14:textId="77777777" w:rsidTr="006653CE">
        <w:tc>
          <w:tcPr>
            <w:tcW w:w="3462" w:type="pct"/>
            <w:shd w:val="clear" w:color="auto" w:fill="auto"/>
          </w:tcPr>
          <w:p w14:paraId="3A0199CF" w14:textId="77777777" w:rsidR="006653CE" w:rsidRPr="004524F2" w:rsidRDefault="006653CE" w:rsidP="00AF086E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4524F2">
              <w:rPr>
                <w:rFonts w:ascii="Calibri" w:hAnsi="Calibri" w:cs="Calibri"/>
                <w:bCs/>
              </w:rPr>
              <w:t>Общо</w:t>
            </w:r>
          </w:p>
        </w:tc>
        <w:tc>
          <w:tcPr>
            <w:tcW w:w="15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7664C0" w14:textId="43A2976E" w:rsidR="006653CE" w:rsidRPr="00DC7FB6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</w:tr>
    </w:tbl>
    <w:p w14:paraId="7093666E" w14:textId="77777777" w:rsidR="00974657" w:rsidRPr="004524F2" w:rsidRDefault="00974657" w:rsidP="00974657">
      <w:pPr>
        <w:jc w:val="both"/>
        <w:rPr>
          <w:rFonts w:ascii="Arial" w:hAnsi="Arial" w:cs="Arial"/>
          <w:snapToGrid w:val="0"/>
        </w:rPr>
      </w:pPr>
    </w:p>
    <w:p w14:paraId="61CD7196" w14:textId="77777777" w:rsidR="00DE5279" w:rsidRPr="004524F2" w:rsidRDefault="00DE5279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>Разходи</w:t>
      </w:r>
    </w:p>
    <w:p w14:paraId="218B696D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</w:p>
    <w:p w14:paraId="7C583D95" w14:textId="77777777" w:rsidR="00DE5279" w:rsidRPr="004524F2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 xml:space="preserve">Всички разходи за дейността се отчитат по елементи и се отнасят по направление. Спазва се принципа на текущо начисляване. Разходите се признават за текущи в момента на признаване на прихода, а тези отнасящи се до следващи текущи периоди, като разходи за бъдещи периоди. </w:t>
      </w:r>
    </w:p>
    <w:p w14:paraId="603F65CD" w14:textId="77777777" w:rsidR="00974657" w:rsidRPr="004524F2" w:rsidRDefault="00974657" w:rsidP="00974657">
      <w:pPr>
        <w:jc w:val="both"/>
        <w:rPr>
          <w:rFonts w:ascii="Arial" w:hAnsi="Arial" w:cs="Arial"/>
          <w:snapToGrid w:val="0"/>
        </w:rPr>
      </w:pPr>
    </w:p>
    <w:p w14:paraId="27F828AF" w14:textId="77777777" w:rsidR="004833ED" w:rsidRDefault="004833ED" w:rsidP="00974657">
      <w:pPr>
        <w:jc w:val="both"/>
        <w:rPr>
          <w:rFonts w:ascii="Arial" w:hAnsi="Arial" w:cs="Arial"/>
          <w:snapToGrid w:val="0"/>
        </w:rPr>
      </w:pPr>
    </w:p>
    <w:p w14:paraId="7B31603B" w14:textId="4299F927" w:rsidR="00DE5279" w:rsidRDefault="00DE5279" w:rsidP="00974657">
      <w:pPr>
        <w:jc w:val="both"/>
        <w:rPr>
          <w:rFonts w:ascii="Arial" w:hAnsi="Arial" w:cs="Arial"/>
          <w:snapToGrid w:val="0"/>
        </w:rPr>
      </w:pPr>
      <w:r w:rsidRPr="004524F2">
        <w:rPr>
          <w:rFonts w:ascii="Arial" w:hAnsi="Arial" w:cs="Arial"/>
          <w:snapToGrid w:val="0"/>
        </w:rPr>
        <w:t>Административните разходи се отчитат като текущи.</w:t>
      </w:r>
    </w:p>
    <w:p w14:paraId="1CA079A1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2C6E986B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2B06BA6B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403A24EA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4F6612AD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590C8D3F" w14:textId="77777777" w:rsidR="006653CE" w:rsidRDefault="006653CE" w:rsidP="00974657">
      <w:pPr>
        <w:jc w:val="both"/>
        <w:rPr>
          <w:rFonts w:ascii="Arial" w:hAnsi="Arial" w:cs="Arial"/>
          <w:snapToGrid w:val="0"/>
        </w:rPr>
      </w:pPr>
    </w:p>
    <w:p w14:paraId="26F71CCA" w14:textId="77777777" w:rsidR="006653CE" w:rsidRPr="004524F2" w:rsidRDefault="006653CE" w:rsidP="00974657">
      <w:pPr>
        <w:jc w:val="both"/>
        <w:rPr>
          <w:rFonts w:ascii="Arial" w:hAnsi="Arial" w:cs="Arial"/>
          <w:snapToGrid w:val="0"/>
        </w:rPr>
      </w:pPr>
    </w:p>
    <w:p w14:paraId="3045B3D1" w14:textId="77777777" w:rsidR="00914B62" w:rsidRPr="004524F2" w:rsidRDefault="00914B62" w:rsidP="00974657">
      <w:pPr>
        <w:jc w:val="both"/>
        <w:rPr>
          <w:rFonts w:ascii="Arial" w:hAnsi="Arial" w:cs="Arial"/>
          <w:color w:val="000000"/>
        </w:rPr>
      </w:pPr>
    </w:p>
    <w:tbl>
      <w:tblPr>
        <w:tblW w:w="3744" w:type="pct"/>
        <w:tblLook w:val="04A0" w:firstRow="1" w:lastRow="0" w:firstColumn="1" w:lastColumn="0" w:noHBand="0" w:noVBand="1"/>
      </w:tblPr>
      <w:tblGrid>
        <w:gridCol w:w="4703"/>
        <w:gridCol w:w="2090"/>
      </w:tblGrid>
      <w:tr w:rsidR="006653CE" w:rsidRPr="004524F2" w14:paraId="43422995" w14:textId="77777777" w:rsidTr="006653CE">
        <w:tc>
          <w:tcPr>
            <w:tcW w:w="3462" w:type="pct"/>
            <w:shd w:val="clear" w:color="auto" w:fill="auto"/>
          </w:tcPr>
          <w:p w14:paraId="16262F98" w14:textId="77777777" w:rsidR="006653CE" w:rsidRPr="004524F2" w:rsidRDefault="006653CE" w:rsidP="00B879C1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shd w:val="clear" w:color="auto" w:fill="auto"/>
          </w:tcPr>
          <w:p w14:paraId="51FCA7C5" w14:textId="37BFC1B6" w:rsidR="006653CE" w:rsidRPr="004524F2" w:rsidRDefault="006653CE" w:rsidP="00B879C1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31.12.2023</w:t>
            </w:r>
            <w:r w:rsidRPr="004524F2">
              <w:rPr>
                <w:rFonts w:ascii="Calibri" w:hAnsi="Calibri" w:cs="Calibri"/>
                <w:b/>
                <w:bCs/>
                <w:color w:val="000000"/>
              </w:rPr>
              <w:t>г</w:t>
            </w:r>
          </w:p>
        </w:tc>
      </w:tr>
      <w:tr w:rsidR="006653CE" w:rsidRPr="004524F2" w14:paraId="264CB488" w14:textId="77777777" w:rsidTr="006653CE">
        <w:tc>
          <w:tcPr>
            <w:tcW w:w="3462" w:type="pct"/>
            <w:shd w:val="clear" w:color="auto" w:fill="auto"/>
          </w:tcPr>
          <w:p w14:paraId="5C4216A3" w14:textId="77777777" w:rsidR="006653CE" w:rsidRPr="004524F2" w:rsidRDefault="006653CE" w:rsidP="00C130EA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tcBorders>
              <w:bottom w:val="double" w:sz="4" w:space="0" w:color="auto"/>
            </w:tcBorders>
            <w:shd w:val="clear" w:color="auto" w:fill="auto"/>
          </w:tcPr>
          <w:p w14:paraId="6E6B5F6D" w14:textId="77777777" w:rsidR="006653CE" w:rsidRPr="004524F2" w:rsidRDefault="006653CE" w:rsidP="00C130EA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24F2">
              <w:rPr>
                <w:rFonts w:ascii="Calibri" w:hAnsi="Calibri" w:cs="Calibri"/>
                <w:b/>
                <w:bCs/>
                <w:color w:val="000000"/>
              </w:rPr>
              <w:t>BGN(000)</w:t>
            </w:r>
          </w:p>
        </w:tc>
      </w:tr>
      <w:tr w:rsidR="006653CE" w:rsidRPr="004524F2" w14:paraId="6E780BB8" w14:textId="77777777" w:rsidTr="006653CE">
        <w:tc>
          <w:tcPr>
            <w:tcW w:w="3462" w:type="pct"/>
            <w:shd w:val="clear" w:color="auto" w:fill="auto"/>
          </w:tcPr>
          <w:p w14:paraId="67B68BFD" w14:textId="77777777" w:rsidR="006653CE" w:rsidRPr="004524F2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4524F2">
              <w:rPr>
                <w:rFonts w:ascii="Calibri" w:hAnsi="Calibri" w:cs="Calibri"/>
                <w:bCs/>
              </w:rPr>
              <w:t xml:space="preserve">Други оперативни разходи 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612546CB" w14:textId="7E8D36DB" w:rsidR="006653CE" w:rsidRPr="00984B1D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</w:tr>
      <w:tr w:rsidR="006653CE" w:rsidRPr="004524F2" w14:paraId="050285EB" w14:textId="77777777" w:rsidTr="006653CE">
        <w:tc>
          <w:tcPr>
            <w:tcW w:w="3462" w:type="pct"/>
            <w:shd w:val="clear" w:color="auto" w:fill="auto"/>
            <w:vAlign w:val="center"/>
          </w:tcPr>
          <w:p w14:paraId="6D1D65B3" w14:textId="5A19395A" w:rsidR="006653CE" w:rsidRPr="004524F2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B879C1">
              <w:rPr>
                <w:rFonts w:ascii="Calibri" w:hAnsi="Calibri" w:cs="Calibri"/>
                <w:bCs/>
              </w:rPr>
              <w:t>Разходи за външни услуги медиен пакет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1BD38714" w14:textId="58E15BC7" w:rsidR="006653CE" w:rsidRPr="00984B1D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653CE" w:rsidRPr="004524F2" w14:paraId="69DC14FB" w14:textId="77777777" w:rsidTr="006653CE">
        <w:tc>
          <w:tcPr>
            <w:tcW w:w="3462" w:type="pct"/>
            <w:shd w:val="clear" w:color="auto" w:fill="auto"/>
            <w:vAlign w:val="center"/>
          </w:tcPr>
          <w:p w14:paraId="0AB23FCC" w14:textId="14BA1FEB" w:rsidR="006653CE" w:rsidRPr="004524F2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B879C1">
              <w:rPr>
                <w:rFonts w:ascii="Calibri" w:hAnsi="Calibri" w:cs="Calibri"/>
                <w:bCs/>
              </w:rPr>
              <w:t>Предизборна кампания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73461C12" w14:textId="13BCAC83" w:rsidR="006653CE" w:rsidRPr="00984B1D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</w:tr>
      <w:tr w:rsidR="006653CE" w:rsidRPr="004524F2" w14:paraId="7E6AEA83" w14:textId="77777777" w:rsidTr="006653CE">
        <w:tc>
          <w:tcPr>
            <w:tcW w:w="3462" w:type="pct"/>
            <w:shd w:val="clear" w:color="auto" w:fill="auto"/>
            <w:vAlign w:val="center"/>
          </w:tcPr>
          <w:p w14:paraId="4A09DD0C" w14:textId="43673544" w:rsidR="006653CE" w:rsidRPr="004524F2" w:rsidRDefault="006653CE" w:rsidP="00AF086E">
            <w:pPr>
              <w:jc w:val="both"/>
              <w:rPr>
                <w:rFonts w:ascii="Calibri" w:hAnsi="Calibri" w:cs="Calibri"/>
                <w:bCs/>
              </w:rPr>
            </w:pPr>
            <w:r w:rsidRPr="00B879C1">
              <w:rPr>
                <w:rFonts w:ascii="Calibri" w:hAnsi="Calibri" w:cs="Calibri"/>
                <w:bCs/>
              </w:rPr>
              <w:t>Разходи за дарения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7771FBDC" w14:textId="1571A7E1" w:rsidR="006653CE" w:rsidRPr="001D759D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</w:p>
        </w:tc>
      </w:tr>
      <w:tr w:rsidR="006653CE" w:rsidRPr="004524F2" w14:paraId="0465CF6F" w14:textId="77777777" w:rsidTr="006653CE">
        <w:tc>
          <w:tcPr>
            <w:tcW w:w="3462" w:type="pct"/>
            <w:shd w:val="clear" w:color="auto" w:fill="auto"/>
          </w:tcPr>
          <w:p w14:paraId="0E667461" w14:textId="77777777" w:rsidR="006653CE" w:rsidRPr="004524F2" w:rsidRDefault="006653CE" w:rsidP="00AF086E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4524F2">
              <w:rPr>
                <w:rFonts w:ascii="Calibri" w:hAnsi="Calibri" w:cs="Calibri"/>
                <w:bCs/>
              </w:rPr>
              <w:t>Общо</w:t>
            </w:r>
          </w:p>
        </w:tc>
        <w:tc>
          <w:tcPr>
            <w:tcW w:w="15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8B5B53" w14:textId="2B6A4732" w:rsidR="006653CE" w:rsidRPr="00984B1D" w:rsidRDefault="006653CE" w:rsidP="00AF086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</w:tr>
    </w:tbl>
    <w:p w14:paraId="5E2E3267" w14:textId="77777777" w:rsidR="0084559D" w:rsidRDefault="0084559D" w:rsidP="00974657">
      <w:pPr>
        <w:jc w:val="both"/>
        <w:rPr>
          <w:rFonts w:ascii="Arial" w:hAnsi="Arial" w:cs="Arial"/>
          <w:color w:val="000000"/>
        </w:rPr>
      </w:pPr>
    </w:p>
    <w:p w14:paraId="2AF70F58" w14:textId="338E455D" w:rsidR="004833ED" w:rsidRDefault="004833ED" w:rsidP="004833ED">
      <w:pPr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>Няма отчетени приходи през отчетния период, които да не са получени и съответно платени.</w:t>
      </w:r>
    </w:p>
    <w:p w14:paraId="5946DB1C" w14:textId="77777777" w:rsidR="006653CE" w:rsidRDefault="006653CE" w:rsidP="004833ED">
      <w:pPr>
        <w:jc w:val="both"/>
        <w:rPr>
          <w:rFonts w:ascii="Arial" w:hAnsi="Arial" w:cs="Arial"/>
          <w:color w:val="000000"/>
        </w:rPr>
      </w:pPr>
    </w:p>
    <w:p w14:paraId="6C4F7E50" w14:textId="1284E343" w:rsidR="006653CE" w:rsidRPr="004524F2" w:rsidRDefault="006653CE" w:rsidP="004833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Към датата на отчета ПП Величие отчита следните задължения </w:t>
      </w:r>
    </w:p>
    <w:p w14:paraId="2D507B0D" w14:textId="77777777" w:rsidR="0084559D" w:rsidRDefault="0084559D" w:rsidP="00974657">
      <w:pPr>
        <w:jc w:val="both"/>
        <w:rPr>
          <w:rFonts w:ascii="Arial" w:hAnsi="Arial" w:cs="Arial"/>
          <w:color w:val="000000"/>
        </w:rPr>
      </w:pPr>
    </w:p>
    <w:tbl>
      <w:tblPr>
        <w:tblW w:w="3744" w:type="pct"/>
        <w:tblLook w:val="04A0" w:firstRow="1" w:lastRow="0" w:firstColumn="1" w:lastColumn="0" w:noHBand="0" w:noVBand="1"/>
      </w:tblPr>
      <w:tblGrid>
        <w:gridCol w:w="4703"/>
        <w:gridCol w:w="2090"/>
      </w:tblGrid>
      <w:tr w:rsidR="006653CE" w:rsidRPr="004524F2" w14:paraId="44E8F957" w14:textId="77777777" w:rsidTr="006B645D">
        <w:tc>
          <w:tcPr>
            <w:tcW w:w="3462" w:type="pct"/>
            <w:shd w:val="clear" w:color="auto" w:fill="auto"/>
          </w:tcPr>
          <w:p w14:paraId="3E480EAD" w14:textId="77777777" w:rsidR="006653CE" w:rsidRPr="004524F2" w:rsidRDefault="006653CE" w:rsidP="006B645D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shd w:val="clear" w:color="auto" w:fill="auto"/>
          </w:tcPr>
          <w:p w14:paraId="6D67DF28" w14:textId="77777777" w:rsidR="006653CE" w:rsidRPr="004524F2" w:rsidRDefault="006653CE" w:rsidP="006B645D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31.12.2023</w:t>
            </w:r>
            <w:r w:rsidRPr="004524F2">
              <w:rPr>
                <w:rFonts w:ascii="Calibri" w:hAnsi="Calibri" w:cs="Calibri"/>
                <w:b/>
                <w:bCs/>
                <w:color w:val="000000"/>
              </w:rPr>
              <w:t>г</w:t>
            </w:r>
          </w:p>
        </w:tc>
      </w:tr>
      <w:tr w:rsidR="006653CE" w:rsidRPr="004524F2" w14:paraId="72EC7773" w14:textId="77777777" w:rsidTr="006B645D">
        <w:tc>
          <w:tcPr>
            <w:tcW w:w="3462" w:type="pct"/>
            <w:shd w:val="clear" w:color="auto" w:fill="auto"/>
          </w:tcPr>
          <w:p w14:paraId="38B26987" w14:textId="77777777" w:rsidR="006653CE" w:rsidRPr="004524F2" w:rsidRDefault="006653CE" w:rsidP="006B645D">
            <w:pPr>
              <w:tabs>
                <w:tab w:val="left" w:pos="478"/>
                <w:tab w:val="left" w:pos="598"/>
                <w:tab w:val="left" w:pos="718"/>
                <w:tab w:val="left" w:pos="1318"/>
                <w:tab w:val="left" w:pos="1918"/>
                <w:tab w:val="left" w:pos="2518"/>
                <w:tab w:val="left" w:pos="3118"/>
                <w:tab w:val="left" w:pos="3718"/>
                <w:tab w:val="left" w:pos="4318"/>
                <w:tab w:val="left" w:pos="4918"/>
                <w:tab w:val="left" w:pos="5518"/>
                <w:tab w:val="left" w:pos="6118"/>
                <w:tab w:val="left" w:pos="6718"/>
                <w:tab w:val="left" w:pos="7318"/>
                <w:tab w:val="left" w:pos="7918"/>
                <w:tab w:val="left" w:pos="8518"/>
                <w:tab w:val="left" w:pos="9118"/>
                <w:tab w:val="left" w:pos="9718"/>
              </w:tabs>
              <w:suppressAutoHyphens/>
              <w:spacing w:line="240" w:lineRule="exact"/>
              <w:jc w:val="both"/>
              <w:rPr>
                <w:rFonts w:ascii="Calibri" w:hAnsi="Calibri" w:cs="Calibri"/>
                <w:b/>
                <w:color w:val="000000"/>
                <w:spacing w:val="-2"/>
              </w:rPr>
            </w:pPr>
          </w:p>
        </w:tc>
        <w:tc>
          <w:tcPr>
            <w:tcW w:w="1538" w:type="pct"/>
            <w:tcBorders>
              <w:bottom w:val="double" w:sz="4" w:space="0" w:color="auto"/>
            </w:tcBorders>
            <w:shd w:val="clear" w:color="auto" w:fill="auto"/>
          </w:tcPr>
          <w:p w14:paraId="2F87419A" w14:textId="77777777" w:rsidR="006653CE" w:rsidRPr="004524F2" w:rsidRDefault="006653CE" w:rsidP="006B645D">
            <w:pPr>
              <w:ind w:right="31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24F2">
              <w:rPr>
                <w:rFonts w:ascii="Calibri" w:hAnsi="Calibri" w:cs="Calibri"/>
                <w:b/>
                <w:bCs/>
                <w:color w:val="000000"/>
              </w:rPr>
              <w:t>BGN(000)</w:t>
            </w:r>
          </w:p>
        </w:tc>
      </w:tr>
      <w:tr w:rsidR="006653CE" w:rsidRPr="00984B1D" w14:paraId="5DFB2549" w14:textId="77777777" w:rsidTr="006B645D">
        <w:tc>
          <w:tcPr>
            <w:tcW w:w="3462" w:type="pct"/>
            <w:shd w:val="clear" w:color="auto" w:fill="auto"/>
          </w:tcPr>
          <w:p w14:paraId="74AF740E" w14:textId="138D7BA2" w:rsidR="006653CE" w:rsidRPr="004524F2" w:rsidRDefault="006653CE" w:rsidP="006B645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Задължения към доставчици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0A0431E7" w14:textId="5DA367BC" w:rsidR="006653CE" w:rsidRPr="00984B1D" w:rsidRDefault="006653CE" w:rsidP="006B645D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</w:tr>
      <w:tr w:rsidR="006653CE" w:rsidRPr="00984B1D" w14:paraId="547F8E3A" w14:textId="77777777" w:rsidTr="006B645D">
        <w:tc>
          <w:tcPr>
            <w:tcW w:w="3462" w:type="pct"/>
            <w:shd w:val="clear" w:color="auto" w:fill="auto"/>
            <w:vAlign w:val="center"/>
          </w:tcPr>
          <w:p w14:paraId="06D24E78" w14:textId="1E0AD3B7" w:rsidR="006653CE" w:rsidRPr="004524F2" w:rsidRDefault="006653CE" w:rsidP="006B645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Задължения към персонала 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4D19091D" w14:textId="60CF70D6" w:rsidR="006653CE" w:rsidRPr="00984B1D" w:rsidRDefault="006653CE" w:rsidP="006B645D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</w:tr>
      <w:tr w:rsidR="006653CE" w:rsidRPr="00984B1D" w14:paraId="63F91E51" w14:textId="77777777" w:rsidTr="006B645D">
        <w:tc>
          <w:tcPr>
            <w:tcW w:w="3462" w:type="pct"/>
            <w:shd w:val="clear" w:color="auto" w:fill="auto"/>
            <w:vAlign w:val="center"/>
          </w:tcPr>
          <w:p w14:paraId="3C80281A" w14:textId="0398B2BB" w:rsidR="006653CE" w:rsidRPr="004524F2" w:rsidRDefault="006653CE" w:rsidP="006B645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Задължения за осигуровки и данъци </w:t>
            </w:r>
          </w:p>
        </w:tc>
        <w:tc>
          <w:tcPr>
            <w:tcW w:w="1538" w:type="pct"/>
            <w:shd w:val="clear" w:color="auto" w:fill="auto"/>
            <w:vAlign w:val="bottom"/>
          </w:tcPr>
          <w:p w14:paraId="1B8F4FE7" w14:textId="11289DE8" w:rsidR="006653CE" w:rsidRPr="00984B1D" w:rsidRDefault="006653CE" w:rsidP="006B645D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</w:tr>
      <w:tr w:rsidR="006653CE" w:rsidRPr="00984B1D" w14:paraId="3DC80F55" w14:textId="77777777" w:rsidTr="006B645D">
        <w:tc>
          <w:tcPr>
            <w:tcW w:w="3462" w:type="pct"/>
            <w:shd w:val="clear" w:color="auto" w:fill="auto"/>
          </w:tcPr>
          <w:p w14:paraId="1BE89DFB" w14:textId="77777777" w:rsidR="006653CE" w:rsidRPr="004524F2" w:rsidRDefault="006653CE" w:rsidP="006B645D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4524F2">
              <w:rPr>
                <w:rFonts w:ascii="Calibri" w:hAnsi="Calibri" w:cs="Calibri"/>
                <w:bCs/>
              </w:rPr>
              <w:t>Общо</w:t>
            </w:r>
          </w:p>
        </w:tc>
        <w:tc>
          <w:tcPr>
            <w:tcW w:w="15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6015FE1" w14:textId="2145887A" w:rsidR="006653CE" w:rsidRPr="00984B1D" w:rsidRDefault="006653CE" w:rsidP="006B645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458B516F" w14:textId="77777777" w:rsidR="006653CE" w:rsidRDefault="006653CE" w:rsidP="00974657">
      <w:pPr>
        <w:jc w:val="both"/>
        <w:rPr>
          <w:rFonts w:ascii="Arial" w:hAnsi="Arial" w:cs="Arial"/>
          <w:color w:val="000000"/>
        </w:rPr>
      </w:pPr>
    </w:p>
    <w:p w14:paraId="060C5F1A" w14:textId="77777777" w:rsidR="006653CE" w:rsidRPr="004524F2" w:rsidRDefault="006653CE" w:rsidP="00974657">
      <w:pPr>
        <w:jc w:val="both"/>
        <w:rPr>
          <w:rFonts w:ascii="Arial" w:hAnsi="Arial" w:cs="Arial"/>
          <w:color w:val="000000"/>
        </w:rPr>
      </w:pPr>
    </w:p>
    <w:p w14:paraId="038D6F34" w14:textId="77777777" w:rsidR="00974657" w:rsidRPr="004524F2" w:rsidRDefault="00974657" w:rsidP="00974657">
      <w:pPr>
        <w:jc w:val="both"/>
        <w:rPr>
          <w:rFonts w:ascii="Arial" w:hAnsi="Arial" w:cs="Arial"/>
          <w:b/>
          <w:snapToGrid w:val="0"/>
        </w:rPr>
      </w:pPr>
      <w:r w:rsidRPr="004524F2">
        <w:rPr>
          <w:rFonts w:ascii="Arial" w:hAnsi="Arial" w:cs="Arial"/>
          <w:b/>
          <w:snapToGrid w:val="0"/>
        </w:rPr>
        <w:t xml:space="preserve">Друга информация </w:t>
      </w:r>
    </w:p>
    <w:p w14:paraId="63EFCA52" w14:textId="77777777" w:rsidR="00880B72" w:rsidRPr="004524F2" w:rsidRDefault="00DE5279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>Отчетната валута на изготвените отчети е български лев.</w:t>
      </w:r>
    </w:p>
    <w:p w14:paraId="0131A0FB" w14:textId="3D15582E" w:rsidR="009F376F" w:rsidRPr="004524F2" w:rsidRDefault="009F376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Pr="004524F2">
        <w:rPr>
          <w:rFonts w:ascii="Arial" w:hAnsi="Arial" w:cs="Arial"/>
          <w:color w:val="000000"/>
        </w:rPr>
        <w:t xml:space="preserve">не участва в съдружие или самостоятелно в </w:t>
      </w:r>
      <w:r w:rsidR="00DE5279" w:rsidRPr="004524F2">
        <w:rPr>
          <w:rFonts w:ascii="Arial" w:hAnsi="Arial" w:cs="Arial"/>
          <w:color w:val="000000"/>
        </w:rPr>
        <w:t>к</w:t>
      </w:r>
      <w:r w:rsidRPr="004524F2">
        <w:rPr>
          <w:rFonts w:ascii="Arial" w:hAnsi="Arial" w:cs="Arial"/>
          <w:color w:val="000000"/>
        </w:rPr>
        <w:t>апитала</w:t>
      </w:r>
      <w:r w:rsidR="00DE5279" w:rsidRPr="004524F2">
        <w:rPr>
          <w:rFonts w:ascii="Arial" w:hAnsi="Arial" w:cs="Arial"/>
          <w:color w:val="000000"/>
        </w:rPr>
        <w:t xml:space="preserve"> на търговски дружества.</w:t>
      </w:r>
    </w:p>
    <w:p w14:paraId="67F973F4" w14:textId="3EF71400" w:rsidR="00880B72" w:rsidRPr="004524F2" w:rsidRDefault="009F376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Pr="004524F2">
        <w:rPr>
          <w:rFonts w:ascii="Arial" w:hAnsi="Arial" w:cs="Arial"/>
          <w:color w:val="000000"/>
        </w:rPr>
        <w:t>не признава в отчетите си условни задължения.</w:t>
      </w:r>
    </w:p>
    <w:p w14:paraId="67E24F60" w14:textId="1A582F3B" w:rsidR="00880B72" w:rsidRPr="004524F2" w:rsidRDefault="009F376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През отчетния период в 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Pr="004524F2">
        <w:rPr>
          <w:rFonts w:ascii="Arial" w:hAnsi="Arial" w:cs="Arial"/>
          <w:color w:val="000000"/>
        </w:rPr>
        <w:t>няма назначени работници на трудов договор и съответно разходи за подобни възнаграждения и осигуровки не са изплащани.</w:t>
      </w:r>
    </w:p>
    <w:p w14:paraId="700C0537" w14:textId="7BAE5AC7" w:rsidR="00880B72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Pr="004524F2">
        <w:rPr>
          <w:rFonts w:ascii="Arial" w:hAnsi="Arial" w:cs="Arial"/>
          <w:color w:val="000000"/>
        </w:rPr>
        <w:t xml:space="preserve">не е изплащала възнаграждения през </w:t>
      </w:r>
      <w:r w:rsidR="00AF086E">
        <w:rPr>
          <w:rFonts w:ascii="Arial" w:hAnsi="Arial" w:cs="Arial"/>
          <w:color w:val="000000"/>
          <w:lang w:val="en-US"/>
        </w:rPr>
        <w:t>2023</w:t>
      </w:r>
      <w:r w:rsidRPr="004524F2">
        <w:rPr>
          <w:rFonts w:ascii="Arial" w:hAnsi="Arial" w:cs="Arial"/>
          <w:color w:val="000000"/>
        </w:rPr>
        <w:t xml:space="preserve"> г.  членовете на органите на управление във връзка с функциите им.</w:t>
      </w:r>
    </w:p>
    <w:p w14:paraId="18310C0A" w14:textId="1DDF28AA" w:rsidR="00880B72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През </w:t>
      </w:r>
      <w:r w:rsidR="00AF086E">
        <w:rPr>
          <w:rFonts w:ascii="Arial" w:hAnsi="Arial" w:cs="Arial"/>
          <w:color w:val="000000"/>
          <w:lang w:val="en-US"/>
        </w:rPr>
        <w:t>2023</w:t>
      </w:r>
      <w:r w:rsidRPr="004524F2">
        <w:rPr>
          <w:rFonts w:ascii="Arial" w:hAnsi="Arial" w:cs="Arial"/>
          <w:color w:val="000000"/>
        </w:rPr>
        <w:t xml:space="preserve"> г. не са предоставени аванси и кредити на административния персонал и членовете на органите на управление.</w:t>
      </w:r>
    </w:p>
    <w:p w14:paraId="2CA79541" w14:textId="11DCF9A3" w:rsidR="003373EF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Pr="004524F2">
        <w:rPr>
          <w:rFonts w:ascii="Arial" w:hAnsi="Arial" w:cs="Arial"/>
          <w:color w:val="000000"/>
        </w:rPr>
        <w:t>не принадлежи към група фирми и няма задължения да консолидира финансови отчети или да участва в консолидирани такива.</w:t>
      </w:r>
    </w:p>
    <w:p w14:paraId="3415AC3D" w14:textId="77777777" w:rsidR="003373EF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Като политическа партия, дружеството не емитира акции </w:t>
      </w:r>
      <w:r w:rsidR="009F376F" w:rsidRPr="004524F2">
        <w:rPr>
          <w:rFonts w:ascii="Arial" w:hAnsi="Arial" w:cs="Arial"/>
          <w:color w:val="000000"/>
        </w:rPr>
        <w:t>и дялове за набиране на капитал, както и други ценни книжа, включително конвертируеми облигации и аналогични ценни книжа или права.</w:t>
      </w:r>
    </w:p>
    <w:p w14:paraId="3E7D80E5" w14:textId="64CEEA02" w:rsidR="003373EF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Политическа партия </w:t>
      </w:r>
      <w:r w:rsidR="006653CE">
        <w:rPr>
          <w:rFonts w:ascii="Arial" w:hAnsi="Arial" w:cs="Arial"/>
          <w:snapToGrid w:val="0"/>
        </w:rPr>
        <w:t>Величие</w:t>
      </w:r>
      <w:r w:rsidR="0084559D" w:rsidRPr="004524F2">
        <w:rPr>
          <w:rFonts w:ascii="Arial" w:hAnsi="Arial" w:cs="Arial"/>
          <w:color w:val="000000"/>
        </w:rPr>
        <w:t xml:space="preserve"> </w:t>
      </w:r>
      <w:r w:rsidR="006653CE">
        <w:rPr>
          <w:rFonts w:ascii="Arial" w:hAnsi="Arial" w:cs="Arial"/>
          <w:color w:val="000000"/>
        </w:rPr>
        <w:t xml:space="preserve">не е </w:t>
      </w:r>
      <w:r w:rsidRPr="004524F2">
        <w:rPr>
          <w:rFonts w:ascii="Arial" w:hAnsi="Arial" w:cs="Arial"/>
          <w:color w:val="000000"/>
        </w:rPr>
        <w:t>предостав</w:t>
      </w:r>
      <w:r w:rsidR="006653CE">
        <w:rPr>
          <w:rFonts w:ascii="Arial" w:hAnsi="Arial" w:cs="Arial"/>
          <w:color w:val="000000"/>
        </w:rPr>
        <w:t xml:space="preserve">яло </w:t>
      </w:r>
      <w:r w:rsidRPr="004524F2">
        <w:rPr>
          <w:rFonts w:ascii="Arial" w:hAnsi="Arial" w:cs="Arial"/>
          <w:color w:val="000000"/>
        </w:rPr>
        <w:t>обезпечения</w:t>
      </w:r>
      <w:r w:rsidR="006653CE">
        <w:rPr>
          <w:rFonts w:ascii="Arial" w:hAnsi="Arial" w:cs="Arial"/>
          <w:color w:val="000000"/>
        </w:rPr>
        <w:t xml:space="preserve"> по своите задължения</w:t>
      </w:r>
      <w:r w:rsidRPr="004524F2">
        <w:rPr>
          <w:rFonts w:ascii="Arial" w:hAnsi="Arial" w:cs="Arial"/>
          <w:color w:val="000000"/>
        </w:rPr>
        <w:t>.</w:t>
      </w:r>
    </w:p>
    <w:p w14:paraId="6FC697C5" w14:textId="77777777" w:rsidR="00880B72" w:rsidRPr="004524F2" w:rsidRDefault="003373EF" w:rsidP="0097465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>Отчета е изготвен съобразно принципа на действащо предприятие и на ръководството не са известни данни, които да водят до несигурност относно възможността предприятието да продължи своята дейност.</w:t>
      </w:r>
    </w:p>
    <w:p w14:paraId="30B964D1" w14:textId="77777777" w:rsidR="00DE5279" w:rsidRPr="004524F2" w:rsidRDefault="00DE5279" w:rsidP="00974657">
      <w:pPr>
        <w:jc w:val="both"/>
        <w:rPr>
          <w:rFonts w:ascii="Arial" w:hAnsi="Arial" w:cs="Arial"/>
          <w:color w:val="000000"/>
        </w:rPr>
      </w:pPr>
    </w:p>
    <w:p w14:paraId="535D7054" w14:textId="3FC8EEF6" w:rsidR="00BF4BF8" w:rsidRPr="00B879C1" w:rsidRDefault="0019490E" w:rsidP="00BF4BF8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10</w:t>
      </w:r>
      <w:r w:rsidR="00BF4BF8" w:rsidRPr="004524F2">
        <w:rPr>
          <w:rFonts w:ascii="Arial" w:hAnsi="Arial" w:cs="Arial"/>
          <w:color w:val="000000"/>
        </w:rPr>
        <w:t>-0</w:t>
      </w:r>
      <w:r>
        <w:rPr>
          <w:rFonts w:ascii="Arial" w:hAnsi="Arial" w:cs="Arial"/>
          <w:color w:val="000000"/>
        </w:rPr>
        <w:t>3</w:t>
      </w:r>
      <w:r w:rsidR="00BF4BF8" w:rsidRPr="004524F2">
        <w:rPr>
          <w:rFonts w:ascii="Arial" w:hAnsi="Arial" w:cs="Arial"/>
          <w:color w:val="000000"/>
        </w:rPr>
        <w:t>-</w:t>
      </w:r>
      <w:r w:rsidR="00FA60E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</w:p>
    <w:p w14:paraId="42AB2E84" w14:textId="77777777" w:rsidR="00BF4BF8" w:rsidRPr="004524F2" w:rsidRDefault="00BF4BF8" w:rsidP="00BF4BF8">
      <w:pPr>
        <w:jc w:val="both"/>
        <w:rPr>
          <w:rFonts w:ascii="Arial" w:hAnsi="Arial" w:cs="Arial"/>
          <w:color w:val="000000"/>
        </w:rPr>
      </w:pPr>
    </w:p>
    <w:p w14:paraId="3C245C4A" w14:textId="77777777" w:rsidR="00BF4BF8" w:rsidRPr="004524F2" w:rsidRDefault="00BF4BF8" w:rsidP="00BF4BF8">
      <w:pPr>
        <w:jc w:val="both"/>
        <w:rPr>
          <w:rFonts w:ascii="Arial" w:hAnsi="Arial" w:cs="Arial"/>
          <w:color w:val="000000"/>
        </w:rPr>
      </w:pPr>
    </w:p>
    <w:p w14:paraId="59F550A8" w14:textId="77777777" w:rsidR="00BF4BF8" w:rsidRPr="004524F2" w:rsidRDefault="00BF4BF8" w:rsidP="00BF4BF8">
      <w:pPr>
        <w:jc w:val="both"/>
        <w:rPr>
          <w:rFonts w:ascii="Arial" w:hAnsi="Arial" w:cs="Arial"/>
          <w:color w:val="000000"/>
        </w:rPr>
      </w:pPr>
    </w:p>
    <w:p w14:paraId="33242BB4" w14:textId="77777777" w:rsidR="00BF4BF8" w:rsidRPr="004524F2" w:rsidRDefault="00BF4BF8" w:rsidP="00BF4BF8">
      <w:pPr>
        <w:jc w:val="both"/>
        <w:rPr>
          <w:rFonts w:ascii="Arial" w:hAnsi="Arial" w:cs="Arial"/>
          <w:color w:val="000000"/>
        </w:rPr>
      </w:pPr>
      <w:r w:rsidRPr="004524F2">
        <w:rPr>
          <w:rFonts w:ascii="Arial" w:hAnsi="Arial" w:cs="Arial"/>
          <w:color w:val="000000"/>
        </w:rPr>
        <w:t xml:space="preserve">Председател  </w:t>
      </w:r>
      <w:r w:rsidR="00954E52" w:rsidRPr="004524F2">
        <w:rPr>
          <w:rFonts w:ascii="Arial" w:hAnsi="Arial" w:cs="Arial"/>
        </w:rPr>
        <w:t>______________________________</w:t>
      </w:r>
    </w:p>
    <w:p w14:paraId="0DAD56BC" w14:textId="53C60699" w:rsidR="00BF4BF8" w:rsidRPr="006653CE" w:rsidRDefault="00BF4BF8" w:rsidP="00BF4BF8">
      <w:pPr>
        <w:jc w:val="both"/>
        <w:rPr>
          <w:sz w:val="20"/>
          <w:szCs w:val="20"/>
          <w:lang w:eastAsia="en-US"/>
        </w:rPr>
      </w:pPr>
      <w:r w:rsidRPr="006653CE">
        <w:rPr>
          <w:rFonts w:ascii="Arial" w:hAnsi="Arial" w:cs="Arial"/>
        </w:rPr>
        <w:t>/</w:t>
      </w:r>
      <w:r w:rsidR="006653CE" w:rsidRPr="006653CE">
        <w:rPr>
          <w:rFonts w:ascii="Arial" w:hAnsi="Arial" w:cs="Arial"/>
        </w:rPr>
        <w:t>Албена Пекова</w:t>
      </w:r>
      <w:r w:rsidR="006653CE" w:rsidRPr="006653CE">
        <w:rPr>
          <w:rFonts w:ascii="Arial" w:hAnsi="Arial" w:cs="Arial"/>
        </w:rPr>
        <w:t>/</w:t>
      </w:r>
    </w:p>
    <w:p w14:paraId="4DE52291" w14:textId="77777777" w:rsidR="00BF4BF8" w:rsidRPr="004524F2" w:rsidRDefault="00BF4BF8" w:rsidP="00BF4BF8"/>
    <w:p w14:paraId="6A6BFE53" w14:textId="77777777" w:rsidR="00954E52" w:rsidRPr="004524F2" w:rsidRDefault="00954E52" w:rsidP="00954E52">
      <w:pPr>
        <w:jc w:val="both"/>
        <w:rPr>
          <w:rFonts w:ascii="Arial" w:hAnsi="Arial" w:cs="Arial"/>
        </w:rPr>
      </w:pPr>
    </w:p>
    <w:p w14:paraId="4C089456" w14:textId="77777777" w:rsidR="00954E52" w:rsidRPr="004524F2" w:rsidRDefault="00954E52" w:rsidP="00954E52">
      <w:pPr>
        <w:jc w:val="both"/>
        <w:rPr>
          <w:rFonts w:ascii="Arial" w:hAnsi="Arial" w:cs="Arial"/>
        </w:rPr>
      </w:pPr>
    </w:p>
    <w:p w14:paraId="002F8D73" w14:textId="77777777" w:rsidR="00954E52" w:rsidRPr="004524F2" w:rsidRDefault="00954E52" w:rsidP="00954E52">
      <w:pPr>
        <w:jc w:val="both"/>
        <w:rPr>
          <w:rFonts w:ascii="Arial" w:hAnsi="Arial" w:cs="Arial"/>
        </w:rPr>
      </w:pPr>
    </w:p>
    <w:p w14:paraId="3B521EF6" w14:textId="77777777" w:rsidR="00954E52" w:rsidRPr="004524F2" w:rsidRDefault="00954E52" w:rsidP="00954E52">
      <w:pPr>
        <w:jc w:val="both"/>
        <w:rPr>
          <w:rFonts w:ascii="Arial" w:hAnsi="Arial" w:cs="Arial"/>
        </w:rPr>
      </w:pPr>
      <w:r w:rsidRPr="004524F2">
        <w:rPr>
          <w:rFonts w:ascii="Arial" w:hAnsi="Arial" w:cs="Arial"/>
        </w:rPr>
        <w:t>Съставител: ______________________________</w:t>
      </w:r>
      <w:r w:rsidRPr="004524F2">
        <w:rPr>
          <w:rFonts w:ascii="Arial" w:hAnsi="Arial" w:cs="Arial"/>
        </w:rPr>
        <w:tab/>
      </w:r>
    </w:p>
    <w:p w14:paraId="587AA752" w14:textId="77777777" w:rsidR="00974657" w:rsidRPr="004524F2" w:rsidRDefault="00954E52" w:rsidP="00954E52">
      <w:pPr>
        <w:jc w:val="both"/>
        <w:rPr>
          <w:rFonts w:ascii="Arial" w:hAnsi="Arial" w:cs="Arial"/>
        </w:rPr>
      </w:pPr>
      <w:r w:rsidRPr="004524F2">
        <w:rPr>
          <w:rFonts w:ascii="Arial" w:hAnsi="Arial" w:cs="Arial"/>
        </w:rPr>
        <w:t>/Николай Полинчев/</w:t>
      </w:r>
    </w:p>
    <w:sectPr w:rsidR="00974657" w:rsidRPr="004524F2" w:rsidSect="00C3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2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9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72"/>
    <w:rsid w:val="00021E91"/>
    <w:rsid w:val="00022FC2"/>
    <w:rsid w:val="000F61FC"/>
    <w:rsid w:val="0019490E"/>
    <w:rsid w:val="001D759D"/>
    <w:rsid w:val="001F36D8"/>
    <w:rsid w:val="002214C1"/>
    <w:rsid w:val="002A3D04"/>
    <w:rsid w:val="002C1F1C"/>
    <w:rsid w:val="002C4179"/>
    <w:rsid w:val="002F72A8"/>
    <w:rsid w:val="00303125"/>
    <w:rsid w:val="00334CB2"/>
    <w:rsid w:val="003373EF"/>
    <w:rsid w:val="003F0F0B"/>
    <w:rsid w:val="004524F2"/>
    <w:rsid w:val="004833ED"/>
    <w:rsid w:val="004861FC"/>
    <w:rsid w:val="00493740"/>
    <w:rsid w:val="0061647F"/>
    <w:rsid w:val="006653CE"/>
    <w:rsid w:val="006B3918"/>
    <w:rsid w:val="00716D8E"/>
    <w:rsid w:val="0078230E"/>
    <w:rsid w:val="00785B18"/>
    <w:rsid w:val="00811823"/>
    <w:rsid w:val="0084559D"/>
    <w:rsid w:val="00880B72"/>
    <w:rsid w:val="00890B0B"/>
    <w:rsid w:val="008C5C85"/>
    <w:rsid w:val="00914B62"/>
    <w:rsid w:val="00927E77"/>
    <w:rsid w:val="00954E52"/>
    <w:rsid w:val="00974657"/>
    <w:rsid w:val="00984B1D"/>
    <w:rsid w:val="009B60A0"/>
    <w:rsid w:val="009F376F"/>
    <w:rsid w:val="009F5C72"/>
    <w:rsid w:val="00A00576"/>
    <w:rsid w:val="00A6651B"/>
    <w:rsid w:val="00AF086E"/>
    <w:rsid w:val="00B20B84"/>
    <w:rsid w:val="00B44B3A"/>
    <w:rsid w:val="00B879C1"/>
    <w:rsid w:val="00BA75C9"/>
    <w:rsid w:val="00BB5C05"/>
    <w:rsid w:val="00BF4BF8"/>
    <w:rsid w:val="00C130EA"/>
    <w:rsid w:val="00C34D9F"/>
    <w:rsid w:val="00C4435B"/>
    <w:rsid w:val="00CF0C5C"/>
    <w:rsid w:val="00D265CF"/>
    <w:rsid w:val="00D9119C"/>
    <w:rsid w:val="00DC7FB6"/>
    <w:rsid w:val="00DD1C0F"/>
    <w:rsid w:val="00DD5A8E"/>
    <w:rsid w:val="00DE5279"/>
    <w:rsid w:val="00E01277"/>
    <w:rsid w:val="00E23485"/>
    <w:rsid w:val="00E539AD"/>
    <w:rsid w:val="00F44E4E"/>
    <w:rsid w:val="00F62DD2"/>
    <w:rsid w:val="00FA60EC"/>
    <w:rsid w:val="00FF33A5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EDAE5"/>
  <w15:chartTrackingRefBased/>
  <w15:docId w15:val="{C79CAA7F-7ABB-4F6F-AA02-F8FE721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CE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DE527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E5279"/>
    <w:rPr>
      <w:rFonts w:eastAsia="Times New Roman" w:cs="Arial"/>
      <w:b/>
      <w:bCs/>
      <w:i/>
      <w:iCs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D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Дълготрайни материални активи</vt:lpstr>
      <vt:lpstr>    Нематериални дълготрайни активи</vt:lpstr>
      <vt:lpstr>    Стоково материални запаси </vt:lpstr>
    </vt:vector>
  </TitlesOfParts>
  <Company>123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Nikolay Polinchev</cp:lastModifiedBy>
  <cp:revision>17</cp:revision>
  <cp:lastPrinted>2015-03-09T15:42:00Z</cp:lastPrinted>
  <dcterms:created xsi:type="dcterms:W3CDTF">2018-03-17T14:45:00Z</dcterms:created>
  <dcterms:modified xsi:type="dcterms:W3CDTF">2024-03-09T12:39:00Z</dcterms:modified>
</cp:coreProperties>
</file>